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03" w:rsidRDefault="00563639">
      <w:pPr>
        <w:tabs>
          <w:tab w:val="left" w:pos="2340"/>
        </w:tabs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АВТОНОМНАЯ НЕКОММЕРЧЕСКАЯ ОРГАНИЗАЦИЯ</w:t>
      </w:r>
    </w:p>
    <w:p w:rsidR="00F34A03" w:rsidRDefault="00563639">
      <w:pPr>
        <w:tabs>
          <w:tab w:val="left" w:pos="2340"/>
        </w:tabs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ДОПОЛНИТЕЛЬНОГО ПРОФЕССИОНАЛЬНОГО ОБРАЗОВАНИЯ</w:t>
      </w:r>
    </w:p>
    <w:p w:rsidR="00F34A03" w:rsidRDefault="00563639">
      <w:pPr>
        <w:widowControl w:val="0"/>
        <w:tabs>
          <w:tab w:val="left" w:pos="2340"/>
        </w:tabs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«ЦЕНТРАЛЬНЫЙ МНОГОПРОФИЛЬНЫЙ ИНСТИТУТ»</w:t>
      </w:r>
    </w:p>
    <w:p w:rsidR="00F34A03" w:rsidRDefault="00F34A03">
      <w:pPr>
        <w:widowControl w:val="0"/>
        <w:spacing w:after="0" w:line="240" w:lineRule="auto"/>
        <w:ind w:left="5035" w:right="998"/>
        <w:jc w:val="right"/>
        <w:rPr>
          <w:rFonts w:ascii="Times New Roman" w:eastAsia="Times New Roman" w:hAnsi="Times New Roman" w:cs="Times New Roman"/>
          <w:sz w:val="24"/>
        </w:rPr>
      </w:pPr>
    </w:p>
    <w:p w:rsidR="00F34A03" w:rsidRDefault="005636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УТВЕРЖДАЮ</w:t>
      </w:r>
    </w:p>
    <w:p w:rsidR="00F34A03" w:rsidRDefault="005636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Ректор АНО ДПО «ЦМИ»</w:t>
      </w:r>
    </w:p>
    <w:p w:rsidR="00F34A03" w:rsidRDefault="005636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А.Х.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Тамбиев</w:t>
      </w:r>
      <w:proofErr w:type="spellEnd"/>
    </w:p>
    <w:p w:rsidR="00F34A03" w:rsidRDefault="005636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«____» _________2019 г.</w:t>
      </w:r>
    </w:p>
    <w:p w:rsidR="00F34A03" w:rsidRDefault="00F34A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F34A03" w:rsidRDefault="00563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УЧЕБНЫЙ ПЛАН </w:t>
      </w:r>
    </w:p>
    <w:p w:rsidR="00F34A03" w:rsidRPr="00620DE4" w:rsidRDefault="0056363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</w:rPr>
      </w:pPr>
      <w:r w:rsidRPr="00620DE4">
        <w:rPr>
          <w:rFonts w:asciiTheme="majorBidi" w:eastAsia="Times New Roman" w:hAnsiTheme="majorBidi" w:cstheme="majorBidi"/>
          <w:b/>
          <w:sz w:val="24"/>
        </w:rPr>
        <w:t>Цикла тематического усовершенствования</w:t>
      </w:r>
      <w:r w:rsidRPr="00620DE4">
        <w:rPr>
          <w:rFonts w:asciiTheme="majorBidi" w:eastAsia="Times New Roman" w:hAnsiTheme="majorBidi" w:cstheme="majorBidi"/>
          <w:b/>
          <w:sz w:val="28"/>
        </w:rPr>
        <w:t xml:space="preserve"> </w:t>
      </w:r>
    </w:p>
    <w:p w:rsidR="00F34A03" w:rsidRDefault="00563639" w:rsidP="00532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20DE4">
        <w:rPr>
          <w:rFonts w:asciiTheme="majorBidi" w:eastAsia="Times New Roman" w:hAnsiTheme="majorBidi" w:cstheme="majorBidi"/>
          <w:b/>
          <w:sz w:val="24"/>
        </w:rPr>
        <w:t>«</w:t>
      </w:r>
      <w:proofErr w:type="spellStart"/>
      <w:r w:rsidR="0053290C" w:rsidRPr="00620DE4">
        <w:rPr>
          <w:rFonts w:asciiTheme="majorBidi" w:eastAsia="Calibri" w:hAnsiTheme="majorBidi" w:cstheme="majorBidi"/>
          <w:b/>
          <w:color w:val="212529"/>
          <w:sz w:val="24"/>
          <w:shd w:val="clear" w:color="auto" w:fill="FFFFFF"/>
        </w:rPr>
        <w:t>Дерматоскопия</w:t>
      </w:r>
      <w:proofErr w:type="spellEnd"/>
      <w:r w:rsidR="0053290C">
        <w:rPr>
          <w:rFonts w:ascii="Calibri" w:eastAsia="Calibri" w:hAnsi="Calibri" w:cs="Calibri"/>
          <w:b/>
          <w:color w:val="212529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212529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sz w:val="24"/>
        </w:rPr>
        <w:t>».</w:t>
      </w:r>
    </w:p>
    <w:p w:rsidR="00F34A03" w:rsidRDefault="00563639" w:rsidP="00620DE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Цель –  </w:t>
      </w:r>
      <w:r>
        <w:rPr>
          <w:rFonts w:ascii="Times New Roman" w:eastAsia="Times New Roman" w:hAnsi="Times New Roman" w:cs="Times New Roman"/>
          <w:sz w:val="24"/>
        </w:rPr>
        <w:t>совершенствования компетенций, необходимых врачам-специалистам для осуществления</w:t>
      </w:r>
      <w:r w:rsidR="00620DE4">
        <w:rPr>
          <w:rFonts w:ascii="Times New Roman" w:eastAsia="Times New Roman" w:hAnsi="Times New Roman" w:cs="Times New Roman"/>
          <w:sz w:val="24"/>
        </w:rPr>
        <w:t xml:space="preserve"> профессиональной деятельности</w:t>
      </w:r>
      <w:proofErr w:type="gramStart"/>
      <w:r w:rsidR="00620DE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620DE4" w:rsidRDefault="00563639" w:rsidP="00620DE4">
      <w:pPr>
        <w:widowControl w:val="0"/>
        <w:spacing w:after="0" w:line="240" w:lineRule="auto"/>
        <w:rPr>
          <w:color w:val="22272F"/>
          <w:sz w:val="28"/>
          <w:szCs w:val="28"/>
          <w:shd w:val="clear" w:color="auto" w:fill="FFFFFF"/>
        </w:rPr>
      </w:pPr>
      <w:r w:rsidRPr="00620DE4">
        <w:rPr>
          <w:rFonts w:asciiTheme="majorBidi" w:eastAsia="Times New Roman" w:hAnsiTheme="majorBidi" w:cstheme="majorBidi"/>
          <w:b/>
          <w:sz w:val="24"/>
          <w:szCs w:val="24"/>
        </w:rPr>
        <w:t>Категория слушателей</w:t>
      </w:r>
      <w:r w:rsidRPr="00620DE4">
        <w:rPr>
          <w:rFonts w:asciiTheme="majorBidi" w:eastAsia="Times New Roman" w:hAnsiTheme="majorBidi" w:cstheme="majorBidi"/>
          <w:sz w:val="24"/>
          <w:szCs w:val="24"/>
        </w:rPr>
        <w:t xml:space="preserve"> лица имеющие  среднее </w:t>
      </w:r>
      <w:r w:rsidR="00620DE4" w:rsidRPr="00620DE4">
        <w:rPr>
          <w:rFonts w:asciiTheme="majorBidi" w:hAnsiTheme="majorBidi" w:cstheme="majorBidi"/>
          <w:sz w:val="24"/>
          <w:szCs w:val="24"/>
        </w:rPr>
        <w:t xml:space="preserve">высшее профессиональное образование </w:t>
      </w:r>
      <w:r w:rsidR="00620DE4" w:rsidRPr="00620DE4">
        <w:rPr>
          <w:rFonts w:asciiTheme="majorBidi" w:hAnsiTheme="majorBidi" w:cstheme="majorBidi"/>
          <w:color w:val="22272F"/>
          <w:sz w:val="24"/>
          <w:szCs w:val="24"/>
        </w:rPr>
        <w:t>по одной из специальностей: "Лечебное дело", "Педиатрия</w:t>
      </w:r>
      <w:r w:rsidR="00620DE4" w:rsidRPr="00853A4E">
        <w:rPr>
          <w:color w:val="22272F"/>
          <w:sz w:val="28"/>
          <w:szCs w:val="28"/>
          <w:shd w:val="clear" w:color="auto" w:fill="FFFFFF"/>
        </w:rPr>
        <w:t xml:space="preserve"> "</w:t>
      </w:r>
      <w:r w:rsidR="00620DE4">
        <w:rPr>
          <w:color w:val="22272F"/>
          <w:sz w:val="28"/>
          <w:szCs w:val="28"/>
          <w:shd w:val="clear" w:color="auto" w:fill="FFFFFF"/>
        </w:rPr>
        <w:t>.</w:t>
      </w:r>
    </w:p>
    <w:p w:rsidR="00F34A03" w:rsidRDefault="00563639" w:rsidP="00620DE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Срок обучения: </w:t>
      </w:r>
      <w:r>
        <w:rPr>
          <w:rFonts w:ascii="Times New Roman" w:eastAsia="Times New Roman" w:hAnsi="Times New Roman" w:cs="Times New Roman"/>
          <w:sz w:val="24"/>
        </w:rPr>
        <w:t>36 часов.</w:t>
      </w:r>
    </w:p>
    <w:p w:rsidR="00F34A03" w:rsidRDefault="0056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Форма обучения</w:t>
      </w:r>
      <w:r>
        <w:rPr>
          <w:rFonts w:ascii="Times New Roman" w:eastAsia="Times New Roman" w:hAnsi="Times New Roman" w:cs="Times New Roman"/>
          <w:sz w:val="24"/>
        </w:rPr>
        <w:t xml:space="preserve">: заочная (по желанию </w:t>
      </w:r>
      <w:r w:rsidRPr="00620DE4">
        <w:rPr>
          <w:rFonts w:asciiTheme="majorBidi" w:eastAsia="Times New Roman" w:hAnsiTheme="majorBidi" w:cstheme="majorBidi"/>
          <w:sz w:val="24"/>
        </w:rPr>
        <w:t>слушателя</w:t>
      </w:r>
      <w:r>
        <w:rPr>
          <w:rFonts w:ascii="Times New Roman" w:eastAsia="Times New Roman" w:hAnsi="Times New Roman" w:cs="Times New Roman"/>
          <w:sz w:val="24"/>
        </w:rPr>
        <w:t xml:space="preserve"> или заказчика возможны очная, </w:t>
      </w:r>
      <w:proofErr w:type="spellStart"/>
      <w:r>
        <w:rPr>
          <w:rFonts w:ascii="Times New Roman" w:eastAsia="Times New Roman" w:hAnsi="Times New Roman" w:cs="Times New Roman"/>
          <w:sz w:val="24"/>
        </w:rPr>
        <w:t>очно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F34A03" w:rsidRDefault="00F34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51"/>
        <w:gridCol w:w="3699"/>
        <w:gridCol w:w="940"/>
        <w:gridCol w:w="1211"/>
        <w:gridCol w:w="1275"/>
        <w:gridCol w:w="1791"/>
      </w:tblGrid>
      <w:tr w:rsidR="00F34A03" w:rsidTr="0053290C">
        <w:trPr>
          <w:trHeight w:val="1"/>
          <w:jc w:val="center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34A03" w:rsidRDefault="00F34A0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34A03" w:rsidRDefault="005636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F34A03" w:rsidRDefault="00563639">
            <w:pPr>
              <w:keepNext/>
              <w:keepLine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34A03" w:rsidRDefault="00563639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разделов 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34A03" w:rsidRDefault="00563639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часов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34A03" w:rsidRDefault="00563639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том числе: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34A03" w:rsidRDefault="00563639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контроля</w:t>
            </w:r>
          </w:p>
        </w:tc>
      </w:tr>
      <w:tr w:rsidR="00F34A03" w:rsidTr="0053290C">
        <w:trPr>
          <w:trHeight w:val="1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34A03" w:rsidRDefault="00F34A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34A03" w:rsidRDefault="00F34A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34A03" w:rsidRDefault="00F34A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34A03" w:rsidRDefault="00563639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Лекции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34A03" w:rsidRDefault="005636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Практика/</w:t>
            </w:r>
          </w:p>
          <w:p w:rsidR="00F34A03" w:rsidRDefault="00563639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семинар</w:t>
            </w: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34A03" w:rsidRDefault="00F34A03">
            <w:pPr>
              <w:rPr>
                <w:rFonts w:ascii="Calibri" w:eastAsia="Calibri" w:hAnsi="Calibri" w:cs="Calibri"/>
              </w:rPr>
            </w:pPr>
          </w:p>
        </w:tc>
      </w:tr>
      <w:tr w:rsidR="0053290C" w:rsidTr="0053290C">
        <w:trPr>
          <w:trHeight w:val="351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53290C" w:rsidRDefault="005329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53290C" w:rsidRPr="0053290C" w:rsidRDefault="0053290C" w:rsidP="0053290C">
            <w:pPr>
              <w:shd w:val="clear" w:color="auto" w:fill="FFFFFF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5329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90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Дерматоскопия</w:t>
            </w:r>
            <w:proofErr w:type="spellEnd"/>
            <w:r w:rsidRPr="0053290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как метод визуальной диагностики кожи.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53290C" w:rsidRDefault="005329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53290C" w:rsidRDefault="005329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53290C" w:rsidRDefault="005329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53290C" w:rsidRDefault="005329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Тест </w:t>
            </w:r>
          </w:p>
        </w:tc>
      </w:tr>
      <w:tr w:rsidR="0053290C" w:rsidTr="0053290C">
        <w:trPr>
          <w:trHeight w:val="1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53290C" w:rsidRDefault="005329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53290C" w:rsidRPr="0053290C" w:rsidRDefault="0053290C" w:rsidP="0053290C">
            <w:pPr>
              <w:shd w:val="clear" w:color="auto" w:fill="FFFFFF"/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90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Клинические, </w:t>
            </w:r>
            <w:proofErr w:type="spellStart"/>
            <w:r w:rsidRPr="0053290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дерматоскопические</w:t>
            </w:r>
            <w:proofErr w:type="spellEnd"/>
            <w:r w:rsidRPr="0053290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 патоморфологические параллели.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53290C" w:rsidRDefault="005329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53290C" w:rsidRDefault="005329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53290C" w:rsidRDefault="005329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53290C" w:rsidRDefault="005329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Тест </w:t>
            </w:r>
          </w:p>
        </w:tc>
      </w:tr>
      <w:tr w:rsidR="0053290C" w:rsidTr="0053290C">
        <w:trPr>
          <w:trHeight w:val="1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53290C" w:rsidRDefault="005329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53290C" w:rsidRPr="0053290C" w:rsidRDefault="0053290C" w:rsidP="0053290C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329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Дерматоскопические</w:t>
            </w:r>
            <w:proofErr w:type="spellEnd"/>
            <w:r w:rsidRPr="005329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признаки поражений кожи.</w:t>
            </w:r>
            <w:r w:rsidRPr="005329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53290C" w:rsidRDefault="005329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53290C" w:rsidRDefault="005329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53290C" w:rsidRDefault="005329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53290C" w:rsidRDefault="0053290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Тест</w:t>
            </w:r>
          </w:p>
        </w:tc>
      </w:tr>
      <w:tr w:rsidR="0053290C" w:rsidTr="0053290C">
        <w:trPr>
          <w:trHeight w:val="1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53290C" w:rsidRDefault="005329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53290C" w:rsidRPr="0053290C" w:rsidRDefault="0053290C" w:rsidP="0053290C">
            <w:pPr>
              <w:pStyle w:val="a3"/>
              <w:rPr>
                <w:color w:val="000000"/>
                <w:lang w:eastAsia="en-US"/>
              </w:rPr>
            </w:pPr>
            <w:proofErr w:type="spellStart"/>
            <w:r w:rsidRPr="0053290C">
              <w:rPr>
                <w:bCs/>
                <w:color w:val="000000"/>
                <w:shd w:val="clear" w:color="auto" w:fill="FFFFFF"/>
              </w:rPr>
              <w:t>Дерматоскопические</w:t>
            </w:r>
            <w:proofErr w:type="spellEnd"/>
            <w:r w:rsidRPr="0053290C">
              <w:rPr>
                <w:bCs/>
                <w:color w:val="000000"/>
                <w:shd w:val="clear" w:color="auto" w:fill="FFFFFF"/>
              </w:rPr>
              <w:t xml:space="preserve"> критерии диагноза хронических дерматозов и новообразований кожи.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53290C" w:rsidRDefault="005329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53290C" w:rsidRDefault="005329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53290C" w:rsidRDefault="005329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53290C" w:rsidRDefault="0053290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Тест</w:t>
            </w:r>
          </w:p>
        </w:tc>
      </w:tr>
      <w:tr w:rsidR="0053290C" w:rsidTr="0053290C">
        <w:trPr>
          <w:trHeight w:val="1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53290C" w:rsidRDefault="005329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53290C" w:rsidRPr="0053290C" w:rsidRDefault="0053290C" w:rsidP="0053290C">
            <w:pPr>
              <w:shd w:val="clear" w:color="auto" w:fill="FFFFFF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5329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90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Дерматоскопия</w:t>
            </w:r>
            <w:proofErr w:type="spellEnd"/>
            <w:r w:rsidRPr="0053290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как метод визуальной диагностики кожи.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53290C" w:rsidRDefault="005329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53290C" w:rsidRDefault="005329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53290C" w:rsidRDefault="005329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53290C" w:rsidRDefault="0053290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Тест</w:t>
            </w:r>
          </w:p>
        </w:tc>
      </w:tr>
      <w:tr w:rsidR="00F34A03" w:rsidTr="0053290C">
        <w:trPr>
          <w:trHeight w:val="1"/>
          <w:jc w:val="center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Итоговая аттестация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соответствии с положением об итоговой аттестации</w:t>
            </w:r>
          </w:p>
        </w:tc>
      </w:tr>
      <w:tr w:rsidR="00F34A03" w:rsidTr="0053290C">
        <w:trPr>
          <w:trHeight w:val="133"/>
          <w:jc w:val="center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F34A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34A03" w:rsidRDefault="00F34A03">
      <w:pPr>
        <w:spacing w:after="0"/>
        <w:rPr>
          <w:rFonts w:ascii="Calibri" w:eastAsia="Calibri" w:hAnsi="Calibri" w:cs="Calibri"/>
        </w:rPr>
      </w:pPr>
    </w:p>
    <w:sectPr w:rsidR="00F34A03" w:rsidSect="007A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4A03"/>
    <w:rsid w:val="005107FD"/>
    <w:rsid w:val="0053290C"/>
    <w:rsid w:val="00563639"/>
    <w:rsid w:val="00620DE4"/>
    <w:rsid w:val="007A2984"/>
    <w:rsid w:val="00923E2D"/>
    <w:rsid w:val="00F3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СМАИЛ</cp:lastModifiedBy>
  <cp:revision>5</cp:revision>
  <dcterms:created xsi:type="dcterms:W3CDTF">2021-02-05T12:28:00Z</dcterms:created>
  <dcterms:modified xsi:type="dcterms:W3CDTF">2021-03-04T14:10:00Z</dcterms:modified>
</cp:coreProperties>
</file>